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272" w:tblpY="3078"/>
        <w:tblOverlap w:val="never"/>
        <w:tblW w:w="7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0"/>
        <w:gridCol w:w="2245"/>
        <w:gridCol w:w="1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招聘岗位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0101-非遗保护与研究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刘英钟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0101-非遗保护与研究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0102-艺术研究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曹圣迪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0103-办公室文秘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0104-数字化建设与管理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0104-数字化建设与管理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庄虹意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0105-报账员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廖星星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附件1：海南省群众艺术馆公开招聘事业编制工作人员体检名单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604B1"/>
    <w:rsid w:val="05CC4973"/>
    <w:rsid w:val="38D0128E"/>
    <w:rsid w:val="6AA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2020-08-04T10:45:00Z</dcterms:created>
  <dc:creator>南国人力-小陈</dc:creator>
  <cp:lastModifiedBy>南国人力-小陈</cp:lastModifiedBy>
  <dcterms:modified xsi:type="dcterms:W3CDTF">2020-08-04T11:46:49Z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