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D4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 w14:paraId="5C12C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海南省五项重点体育赛事公开征集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分</w:t>
      </w:r>
    </w:p>
    <w:p w14:paraId="79862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标准</w:t>
      </w:r>
    </w:p>
    <w:p w14:paraId="6049776E">
      <w:pPr>
        <w:pStyle w:val="2"/>
        <w:rPr>
          <w:rFonts w:hint="eastAsia"/>
        </w:rPr>
      </w:pPr>
    </w:p>
    <w:tbl>
      <w:tblPr>
        <w:tblStyle w:val="4"/>
        <w:tblW w:w="10433" w:type="dxa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85"/>
        <w:gridCol w:w="7665"/>
        <w:gridCol w:w="1226"/>
      </w:tblGrid>
      <w:tr w14:paraId="08F0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57" w:type="dxa"/>
            <w:noWrap w:val="0"/>
            <w:vAlign w:val="center"/>
          </w:tcPr>
          <w:p w14:paraId="50E95ED9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 w14:paraId="7C393663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名称</w:t>
            </w:r>
          </w:p>
        </w:tc>
        <w:tc>
          <w:tcPr>
            <w:tcW w:w="7665" w:type="dxa"/>
            <w:noWrap w:val="0"/>
            <w:vAlign w:val="center"/>
          </w:tcPr>
          <w:p w14:paraId="506648F3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评分标准</w:t>
            </w:r>
          </w:p>
        </w:tc>
        <w:tc>
          <w:tcPr>
            <w:tcW w:w="1226" w:type="dxa"/>
            <w:noWrap w:val="0"/>
            <w:vAlign w:val="center"/>
          </w:tcPr>
          <w:p w14:paraId="6902EC79">
            <w:pP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最高分值</w:t>
            </w:r>
          </w:p>
        </w:tc>
      </w:tr>
      <w:tr w14:paraId="42CC5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57" w:type="dxa"/>
            <w:noWrap w:val="0"/>
            <w:vAlign w:val="center"/>
          </w:tcPr>
          <w:p w14:paraId="74673D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 w14:paraId="3EA7FE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赛事工作方案</w:t>
            </w:r>
          </w:p>
        </w:tc>
        <w:tc>
          <w:tcPr>
            <w:tcW w:w="7665" w:type="dxa"/>
            <w:noWrap w:val="0"/>
            <w:vAlign w:val="center"/>
          </w:tcPr>
          <w:p w14:paraId="4E3DB266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（一）专家组根据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编制的赛事工作方案进行打分，赛事工作方案包括但不限于：赛事的基本信息、赛事日程安排、组织架构、各部门职责分工等内容。 </w:t>
            </w:r>
          </w:p>
          <w:p w14:paraId="1CB9C3D0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（二）评分标准：</w:t>
            </w:r>
          </w:p>
          <w:p w14:paraId="6666EF81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1.赛事工作方案包含上述所有内容且满足征集文件及项目的实际需要，得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25分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。 </w:t>
            </w:r>
          </w:p>
          <w:p w14:paraId="1E8C951E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2.每有一项方案不符合实际需求或不全面、不详细的，该项方案扣2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.5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分，每有一项方案内容缺失或未涉及的该项方案扣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分，扣完本项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分为止。</w:t>
            </w:r>
          </w:p>
          <w:p w14:paraId="223D1934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3.不提供总体赛事方案或方案与本项目不相关的，本项全部不得分。 </w:t>
            </w:r>
          </w:p>
          <w:p w14:paraId="49FD8B41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注：评审专家按照征集文件评审要求、申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办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单位提供的申请文件方案，结合项目实际做具体评审。</w:t>
            </w:r>
          </w:p>
        </w:tc>
        <w:tc>
          <w:tcPr>
            <w:tcW w:w="1226" w:type="dxa"/>
            <w:noWrap w:val="0"/>
            <w:vAlign w:val="center"/>
          </w:tcPr>
          <w:p w14:paraId="50F14F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</w:p>
        </w:tc>
      </w:tr>
      <w:tr w14:paraId="12D7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57" w:type="dxa"/>
            <w:noWrap w:val="0"/>
            <w:vAlign w:val="center"/>
          </w:tcPr>
          <w:p w14:paraId="7DBF7F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 w14:paraId="161FE56D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竞赛</w:t>
            </w:r>
          </w:p>
          <w:p w14:paraId="33A649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方案</w:t>
            </w:r>
          </w:p>
        </w:tc>
        <w:tc>
          <w:tcPr>
            <w:tcW w:w="7665" w:type="dxa"/>
            <w:noWrap w:val="0"/>
            <w:vAlign w:val="center"/>
          </w:tcPr>
          <w:p w14:paraId="74393AAA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（一）专家组根据申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办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单位编制的竞赛方案进行打分，竞赛方案包括但不限于：比赛路线设计、赛事场地选择、工作人员配备、竞赛特定规则、竞赛器材清单等内容。 </w:t>
            </w:r>
          </w:p>
          <w:p w14:paraId="5EC5E57B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（二）评分标准：</w:t>
            </w:r>
          </w:p>
          <w:p w14:paraId="2C6CA535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1.竞赛方案包含上述所有内容且满足征集文件及项目的实际需要，得20分。 </w:t>
            </w:r>
          </w:p>
          <w:p w14:paraId="7F3A87EF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2.每有一项方案不符合实际需求或不全面、不详细的，该项方案扣2分，每有一项方案内容缺失或未涉及的该项方案扣4分，扣完本项20分为止。</w:t>
            </w:r>
          </w:p>
          <w:p w14:paraId="184E54B1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3.不提供竞赛方案或方案与本项目不相关的，本项全部不得分。</w:t>
            </w:r>
          </w:p>
          <w:p w14:paraId="2CBF2A7B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注：评审专家按照征集文件评审要求、申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办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单位提供的申请文件方案，结合项目实际做具体评审。</w:t>
            </w:r>
          </w:p>
        </w:tc>
        <w:tc>
          <w:tcPr>
            <w:tcW w:w="1226" w:type="dxa"/>
            <w:noWrap w:val="0"/>
            <w:vAlign w:val="center"/>
          </w:tcPr>
          <w:p w14:paraId="598F44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20分</w:t>
            </w:r>
          </w:p>
        </w:tc>
      </w:tr>
      <w:tr w14:paraId="19217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7" w:type="dxa"/>
            <w:noWrap w:val="0"/>
            <w:vAlign w:val="center"/>
          </w:tcPr>
          <w:p w14:paraId="76C5E0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 w14:paraId="7E10B5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赛事保障方案</w:t>
            </w:r>
          </w:p>
        </w:tc>
        <w:tc>
          <w:tcPr>
            <w:tcW w:w="7665" w:type="dxa"/>
            <w:noWrap w:val="0"/>
            <w:vAlign w:val="center"/>
          </w:tcPr>
          <w:p w14:paraId="656EAE89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（一）专家组根据申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办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单位编制的赛事保障方案进行打分，赛事保障方案包括但不限于安保医疗方案、舆情处置预案、食宿保障方案、交通保障方案、应急预案、后勤工作人员分工、物料清单等内容。 </w:t>
            </w:r>
          </w:p>
          <w:p w14:paraId="4E0FA383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（二）评分标准：</w:t>
            </w:r>
          </w:p>
          <w:p w14:paraId="6E15BA08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1.赛事保障方案包含上述所有内容且满足征集文件及项目的实际需要，得20分。 </w:t>
            </w:r>
          </w:p>
          <w:p w14:paraId="028CCD90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2.每有一项方案不符合实际需求或不全面、不详细的，该项方案扣2分，每有一项方案内容缺失或未涉及的该项方案扣4分，扣完本项20分为止。</w:t>
            </w:r>
          </w:p>
          <w:p w14:paraId="2AE18DED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3.不提供赛事保障方案或方案与本项目不相关的，本项全部不得分。 </w:t>
            </w:r>
          </w:p>
          <w:p w14:paraId="3BE5FFD1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注：评审专家按照征集文件评审要求、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提供的申请文件方案，结合项目实际做具体评审。</w:t>
            </w:r>
          </w:p>
        </w:tc>
        <w:tc>
          <w:tcPr>
            <w:tcW w:w="1226" w:type="dxa"/>
            <w:noWrap w:val="0"/>
            <w:vAlign w:val="center"/>
          </w:tcPr>
          <w:p w14:paraId="7DA0A9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20分</w:t>
            </w:r>
          </w:p>
        </w:tc>
      </w:tr>
      <w:tr w14:paraId="40C1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57" w:type="dxa"/>
            <w:noWrap w:val="0"/>
            <w:vAlign w:val="center"/>
          </w:tcPr>
          <w:p w14:paraId="07FAAA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 w14:paraId="7A7A4A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宣传推广方案</w:t>
            </w:r>
          </w:p>
        </w:tc>
        <w:tc>
          <w:tcPr>
            <w:tcW w:w="7665" w:type="dxa"/>
            <w:noWrap w:val="0"/>
            <w:vAlign w:val="center"/>
          </w:tcPr>
          <w:p w14:paraId="199AD24B"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专家组根据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编制的宣传推广方案进行打分，宣传推广方案包括但不限于：全方位的宣传报道的措施、组建赛事新闻中心情况、赛事官宣平台搭建与日常运营等内容。 </w:t>
            </w:r>
          </w:p>
          <w:p w14:paraId="3C388BEE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（二）评分标准：</w:t>
            </w:r>
          </w:p>
          <w:p w14:paraId="7D14DADC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1.宣传推广方案包含上述所有内容且满足征集文件及项目的实际需要，得10分。</w:t>
            </w:r>
          </w:p>
          <w:p w14:paraId="05146EB8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2.每有一项方案不符合实际需求或不全面、不详细的，该项方案扣2分，每有一项方案内容缺失或未涉及的该项方案扣4分，扣完本项10分为止。</w:t>
            </w:r>
          </w:p>
          <w:p w14:paraId="7CE6A16F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3.不提供宣传推广方案或方案与本项目不相关的，本项全部不得分。</w:t>
            </w:r>
          </w:p>
          <w:p w14:paraId="3BDFE3AC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注：评审专家按照征集文件评审要求、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提供的申请文件方案，结合项目实际做具体评审。</w:t>
            </w:r>
          </w:p>
        </w:tc>
        <w:tc>
          <w:tcPr>
            <w:tcW w:w="1226" w:type="dxa"/>
            <w:noWrap w:val="0"/>
            <w:vAlign w:val="center"/>
          </w:tcPr>
          <w:p w14:paraId="7D7D2F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10分</w:t>
            </w:r>
          </w:p>
        </w:tc>
      </w:tr>
      <w:tr w14:paraId="7508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7" w:type="dxa"/>
            <w:noWrap w:val="0"/>
            <w:vAlign w:val="center"/>
          </w:tcPr>
          <w:p w14:paraId="4BEFE7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5</w:t>
            </w:r>
          </w:p>
        </w:tc>
        <w:tc>
          <w:tcPr>
            <w:tcW w:w="885" w:type="dxa"/>
            <w:noWrap w:val="0"/>
            <w:vAlign w:val="center"/>
          </w:tcPr>
          <w:p w14:paraId="4A0462EB">
            <w:pPr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成功</w:t>
            </w:r>
          </w:p>
          <w:p w14:paraId="5E15DB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案例</w:t>
            </w:r>
          </w:p>
        </w:tc>
        <w:tc>
          <w:tcPr>
            <w:tcW w:w="7665" w:type="dxa"/>
            <w:noWrap w:val="0"/>
            <w:vAlign w:val="center"/>
          </w:tcPr>
          <w:p w14:paraId="28B26E0F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（一）评分标准：</w:t>
            </w:r>
          </w:p>
          <w:p w14:paraId="0B147F36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有成功举办过国际级或国家级赛事经验的，每个赛事得5分，本项满分得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分。</w:t>
            </w:r>
          </w:p>
          <w:p w14:paraId="55A9B35A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有成功举办过省级或市、县级的赛事经验的，每个赛事得2.5分，本项满分得5分。</w:t>
            </w:r>
          </w:p>
          <w:p w14:paraId="0CFB05D0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本项满分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分，一份合同不能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Hans"/>
              </w:rPr>
              <w:t>交叉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得分，只能在所属的级别得分。</w:t>
            </w:r>
          </w:p>
          <w:p w14:paraId="59AC89CC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（二）级别认定说明及其他</w:t>
            </w:r>
          </w:p>
          <w:p w14:paraId="167D2478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.赛事级别以主办单位来认定：①国际性组织的为国际级；②主办单位含国家体育总局（及其直属单位）或全国性协会的为国家级；③主办单位含省级人民政府（及其下属体育行政主管部门）或全省性协会的为省级；④主办单位含市级人民政府（及其下属体育行政主管部门）或全市性协会的为市级。</w:t>
            </w:r>
          </w:p>
          <w:p w14:paraId="34DEC575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两份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项目合同书或协议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赛事总结、媒体报道等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，否则不得分。</w:t>
            </w:r>
          </w:p>
        </w:tc>
        <w:tc>
          <w:tcPr>
            <w:tcW w:w="1226" w:type="dxa"/>
            <w:noWrap w:val="0"/>
            <w:vAlign w:val="center"/>
          </w:tcPr>
          <w:p w14:paraId="64F151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</w:p>
        </w:tc>
      </w:tr>
      <w:tr w14:paraId="2BE3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657" w:type="dxa"/>
            <w:noWrap w:val="0"/>
            <w:vAlign w:val="center"/>
          </w:tcPr>
          <w:p w14:paraId="3F9AF2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6</w:t>
            </w:r>
          </w:p>
        </w:tc>
        <w:tc>
          <w:tcPr>
            <w:tcW w:w="885" w:type="dxa"/>
            <w:noWrap w:val="0"/>
            <w:vAlign w:val="center"/>
          </w:tcPr>
          <w:p w14:paraId="7E3159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赛事审计、 评估</w:t>
            </w:r>
          </w:p>
        </w:tc>
        <w:tc>
          <w:tcPr>
            <w:tcW w:w="7665" w:type="dxa"/>
            <w:noWrap w:val="0"/>
            <w:vAlign w:val="center"/>
          </w:tcPr>
          <w:p w14:paraId="0B94B060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有对所提供成功案例的项目，进行过专项赛事审计、评估的才能得分，每项案例得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分，本项最多得6分。</w:t>
            </w:r>
          </w:p>
          <w:p w14:paraId="02D71B03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注：提供赛事审计报告和评估报告。</w:t>
            </w:r>
          </w:p>
        </w:tc>
        <w:tc>
          <w:tcPr>
            <w:tcW w:w="1226" w:type="dxa"/>
            <w:noWrap w:val="0"/>
            <w:vAlign w:val="center"/>
          </w:tcPr>
          <w:p w14:paraId="395C1D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6分</w:t>
            </w:r>
          </w:p>
        </w:tc>
      </w:tr>
      <w:tr w14:paraId="5692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657" w:type="dxa"/>
            <w:noWrap w:val="0"/>
            <w:vAlign w:val="center"/>
          </w:tcPr>
          <w:p w14:paraId="2A4CEE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7</w:t>
            </w:r>
          </w:p>
        </w:tc>
        <w:tc>
          <w:tcPr>
            <w:tcW w:w="885" w:type="dxa"/>
            <w:noWrap w:val="0"/>
            <w:vAlign w:val="center"/>
          </w:tcPr>
          <w:p w14:paraId="38F012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获得的荣誉</w:t>
            </w:r>
          </w:p>
        </w:tc>
        <w:tc>
          <w:tcPr>
            <w:tcW w:w="7665" w:type="dxa"/>
            <w:noWrap w:val="0"/>
            <w:vAlign w:val="center"/>
          </w:tcPr>
          <w:p w14:paraId="7C4FBB59"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承办过的赛事，有获得过的体育产业示范项目、旅游精品赛事等相关荣誉的，由省级政府及以上认定的每个得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分，本项满分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分。</w:t>
            </w:r>
          </w:p>
          <w:p w14:paraId="74447886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注：提供认定文件的网站截图或相关证明材料和承办该赛事的合同。</w:t>
            </w:r>
          </w:p>
        </w:tc>
        <w:tc>
          <w:tcPr>
            <w:tcW w:w="1226" w:type="dxa"/>
            <w:noWrap w:val="0"/>
            <w:vAlign w:val="center"/>
          </w:tcPr>
          <w:p w14:paraId="54A21C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</w:p>
        </w:tc>
      </w:tr>
      <w:tr w14:paraId="68D0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657" w:type="dxa"/>
            <w:noWrap w:val="0"/>
            <w:vAlign w:val="center"/>
          </w:tcPr>
          <w:p w14:paraId="67ADEB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8</w:t>
            </w:r>
          </w:p>
        </w:tc>
        <w:tc>
          <w:tcPr>
            <w:tcW w:w="885" w:type="dxa"/>
            <w:noWrap w:val="0"/>
            <w:vAlign w:val="center"/>
          </w:tcPr>
          <w:p w14:paraId="5B89CF76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zh-CN"/>
              </w:rPr>
              <w:t>资金筹措计划及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验资凭证</w:t>
            </w:r>
          </w:p>
        </w:tc>
        <w:tc>
          <w:tcPr>
            <w:tcW w:w="7665" w:type="dxa"/>
            <w:noWrap w:val="0"/>
            <w:vAlign w:val="center"/>
          </w:tcPr>
          <w:p w14:paraId="3B762164"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申办单位须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提供不低于赛事奖励资金最高额度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0%的验资凭证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本项满分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分。</w:t>
            </w:r>
          </w:p>
          <w:p w14:paraId="2F087F0A">
            <w:pP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注：提供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凭证。</w:t>
            </w:r>
          </w:p>
        </w:tc>
        <w:tc>
          <w:tcPr>
            <w:tcW w:w="1226" w:type="dxa"/>
            <w:noWrap w:val="0"/>
            <w:vAlign w:val="center"/>
          </w:tcPr>
          <w:p w14:paraId="6189F3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</w:p>
        </w:tc>
      </w:tr>
    </w:tbl>
    <w:p w14:paraId="114551D1"/>
    <w:p w14:paraId="553121FB"/>
    <w:p w14:paraId="148CA736"/>
    <w:p w14:paraId="0B69FC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74850"/>
    <w:multiLevelType w:val="singleLevel"/>
    <w:tmpl w:val="7F5748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zI4NzFkYjJjYTQ1ODJlYTg0YTkzNjNjYzlhN2QifQ=="/>
  </w:docVars>
  <w:rsids>
    <w:rsidRoot w:val="09B978DC"/>
    <w:rsid w:val="09B9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宋体" w:eastAsia="宋体" w:cs="Times New Roman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2024-07-15T12:05:00Z</dcterms:created>
  <dc:creator>万物可爱</dc:creator>
  <cp:lastModifiedBy>万物可爱</cp:lastModifiedBy>
  <dcterms:modified xsi:type="dcterms:W3CDTF">2024-07-15T12:05:44Z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BFA025F8DF1741889978A6F31F38E999_11</vt:lpwstr>
  </property>
</Properties>
</file>