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DB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 w14:paraId="21087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44"/>
          <w:szCs w:val="44"/>
          <w:lang w:val="zh-CN"/>
        </w:rPr>
        <w:t>评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zh-CN" w:eastAsia="zh-CN"/>
        </w:rPr>
        <w:t>分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zh-CN"/>
        </w:rPr>
        <w:t>标准</w:t>
      </w:r>
    </w:p>
    <w:bookmarkEnd w:id="0"/>
    <w:tbl>
      <w:tblPr>
        <w:tblStyle w:val="5"/>
        <w:tblW w:w="10335" w:type="dxa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885"/>
        <w:gridCol w:w="7399"/>
        <w:gridCol w:w="1290"/>
      </w:tblGrid>
      <w:tr w14:paraId="3654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1" w:type="dxa"/>
            <w:noWrap w:val="0"/>
            <w:vAlign w:val="center"/>
          </w:tcPr>
          <w:p w14:paraId="562718E7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 w14:paraId="1F4F5E9B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  <w:t>名称</w:t>
            </w:r>
          </w:p>
        </w:tc>
        <w:tc>
          <w:tcPr>
            <w:tcW w:w="7399" w:type="dxa"/>
            <w:noWrap w:val="0"/>
            <w:vAlign w:val="center"/>
          </w:tcPr>
          <w:p w14:paraId="4147E991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  <w:t>评分标准</w:t>
            </w:r>
          </w:p>
        </w:tc>
        <w:tc>
          <w:tcPr>
            <w:tcW w:w="1290" w:type="dxa"/>
            <w:noWrap w:val="0"/>
            <w:vAlign w:val="center"/>
          </w:tcPr>
          <w:p w14:paraId="35BC647F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  <w:t>最高分值</w:t>
            </w:r>
          </w:p>
        </w:tc>
      </w:tr>
      <w:tr w14:paraId="2699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61" w:type="dxa"/>
            <w:noWrap w:val="0"/>
            <w:vAlign w:val="center"/>
          </w:tcPr>
          <w:p w14:paraId="76BEE04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119EA2D8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赛事工作方案</w:t>
            </w:r>
          </w:p>
        </w:tc>
        <w:tc>
          <w:tcPr>
            <w:tcW w:w="7399" w:type="dxa"/>
            <w:noWrap w:val="0"/>
            <w:vAlign w:val="center"/>
          </w:tcPr>
          <w:p w14:paraId="241BAA49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（一）专家组根据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编制的赛事工作方案进行打分，赛事工作方案包括但不限于：赛事的基本信息、赛事日程安排、组织架构、各部门职责分工等内容。 </w:t>
            </w:r>
          </w:p>
          <w:p w14:paraId="0DB64455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（二）评分标准：</w:t>
            </w:r>
          </w:p>
          <w:p w14:paraId="5F548816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1.赛事工作方案包含上述所有内容且满足征集文件及项目的实际需要，得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25分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。 </w:t>
            </w:r>
          </w:p>
          <w:p w14:paraId="2845FC61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2.每有一项方案不符合实际需求或不全面、不详细的，该项方案扣2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分，每有一项方案内容缺失或未涉及的该项方案扣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分，扣完本项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分为止。</w:t>
            </w:r>
          </w:p>
          <w:p w14:paraId="11CBEABE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3.不提供总体赛事方案或方案与本项目不相关的，本项全部不得分。 </w:t>
            </w:r>
          </w:p>
          <w:p w14:paraId="67AA00ED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注：评审专家按照征集文件评审要求、申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单位提供的申请文件方案，结合项目实际做具体评审。</w:t>
            </w:r>
          </w:p>
        </w:tc>
        <w:tc>
          <w:tcPr>
            <w:tcW w:w="1290" w:type="dxa"/>
            <w:noWrap w:val="0"/>
            <w:vAlign w:val="center"/>
          </w:tcPr>
          <w:p w14:paraId="2E50AE1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</w:tr>
      <w:tr w14:paraId="1C52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61" w:type="dxa"/>
            <w:noWrap w:val="0"/>
            <w:vAlign w:val="center"/>
          </w:tcPr>
          <w:p w14:paraId="27C7C49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 w14:paraId="7B87D4F3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竞赛</w:t>
            </w:r>
          </w:p>
          <w:p w14:paraId="1D43633D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方案</w:t>
            </w:r>
          </w:p>
        </w:tc>
        <w:tc>
          <w:tcPr>
            <w:tcW w:w="7399" w:type="dxa"/>
            <w:noWrap w:val="0"/>
            <w:vAlign w:val="center"/>
          </w:tcPr>
          <w:p w14:paraId="3B8952CD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（一）专家组根据申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单位编制的竞赛方案进行打分，竞赛方案包括但不限于：比赛路线设计、赛事场地选择、工作人员配备、竞赛特定规则、竞赛器材清单等内容。 </w:t>
            </w:r>
          </w:p>
          <w:p w14:paraId="6DF0A853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（二）评分标准：</w:t>
            </w:r>
          </w:p>
          <w:p w14:paraId="680D4A3F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1.竞赛方案包含上述所有内容且满足征集文件及项目的实际需要，得20分。 </w:t>
            </w:r>
          </w:p>
          <w:p w14:paraId="36920374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2.每有一项方案不符合实际需求或不全面、不详细的，该项方案扣2分，每有一项方案内容缺失或未涉及的该项方案扣4分，扣完本项20分为止。</w:t>
            </w:r>
          </w:p>
          <w:p w14:paraId="66FA31B7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3.不提供竞赛方案或方案与本项目不相关的，本项全部不得分。</w:t>
            </w:r>
          </w:p>
          <w:p w14:paraId="436F4FF3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 注：评审专家按照征集文件评审要求、申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单位提供的申请文件方案，结合项目实际做具体评审。</w:t>
            </w:r>
          </w:p>
        </w:tc>
        <w:tc>
          <w:tcPr>
            <w:tcW w:w="1290" w:type="dxa"/>
            <w:noWrap w:val="0"/>
            <w:vAlign w:val="center"/>
          </w:tcPr>
          <w:p w14:paraId="69B74B5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20分</w:t>
            </w:r>
          </w:p>
        </w:tc>
      </w:tr>
      <w:tr w14:paraId="2CD6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1" w:type="dxa"/>
            <w:noWrap w:val="0"/>
            <w:vAlign w:val="center"/>
          </w:tcPr>
          <w:p w14:paraId="67411BC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 w14:paraId="427B0FD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赛事保障方案</w:t>
            </w:r>
          </w:p>
        </w:tc>
        <w:tc>
          <w:tcPr>
            <w:tcW w:w="7399" w:type="dxa"/>
            <w:noWrap w:val="0"/>
            <w:vAlign w:val="center"/>
          </w:tcPr>
          <w:p w14:paraId="023424AD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（一）专家组根据申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单位编制的赛事保障方案进行打分，赛事保障方案包括但不限于安保医疗方案、舆情处置预案、食宿保障方案、交通保障方案、应急预案、后勤工作人员分工、物料清单等内容。 </w:t>
            </w:r>
          </w:p>
          <w:p w14:paraId="6D94DBE6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（二）评分标准：</w:t>
            </w:r>
          </w:p>
          <w:p w14:paraId="1CC54599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1.赛事保障方案包含上述所有内容且满足征集文件及项目的实际需要，得20分。 </w:t>
            </w:r>
          </w:p>
          <w:p w14:paraId="72BC64F3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2.每有一项方案不符合实际需求或不全面、不详细的，该项方案扣2分，每有一项方案内容缺失或未涉及的该项方案扣4分，扣完本项20分为止。</w:t>
            </w:r>
          </w:p>
          <w:p w14:paraId="42333469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3.不提供赛事保障方案或方案与本项目不相关的，本项全部不得分。 </w:t>
            </w:r>
          </w:p>
          <w:p w14:paraId="1EA8D18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注：评审专家按照征集文件评审要求、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提供的申请文件方案，结合项目实际做具体评审。</w:t>
            </w:r>
          </w:p>
        </w:tc>
        <w:tc>
          <w:tcPr>
            <w:tcW w:w="1290" w:type="dxa"/>
            <w:noWrap w:val="0"/>
            <w:vAlign w:val="center"/>
          </w:tcPr>
          <w:p w14:paraId="5D852A5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20分</w:t>
            </w:r>
          </w:p>
        </w:tc>
      </w:tr>
      <w:tr w14:paraId="5E62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61" w:type="dxa"/>
            <w:noWrap w:val="0"/>
            <w:vAlign w:val="center"/>
          </w:tcPr>
          <w:p w14:paraId="7C99853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 w14:paraId="5A7CE84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宣传推广方案</w:t>
            </w:r>
          </w:p>
        </w:tc>
        <w:tc>
          <w:tcPr>
            <w:tcW w:w="7399" w:type="dxa"/>
            <w:noWrap w:val="0"/>
            <w:vAlign w:val="center"/>
          </w:tcPr>
          <w:p w14:paraId="1A114A19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专家组根据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编制的宣传推广方案进行打分，宣传推广方案包括但不限于：全方位的宣传报道的措施、组建赛事新闻中心情况、赛事官宣平台搭建与日常运营等内容。 </w:t>
            </w:r>
          </w:p>
          <w:p w14:paraId="40823A70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（二）评分标准：</w:t>
            </w:r>
          </w:p>
          <w:p w14:paraId="3DFD98A0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1.宣传推广方案包含上述所有内容且满足征集文件及项目的实际需要，得10分。</w:t>
            </w:r>
          </w:p>
          <w:p w14:paraId="10E19012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2.每有一项方案不符合实际需求或不全面、不详细的，该项方案扣2分，每有一项方案内容缺失或未涉及的该项方案扣4分，扣完本项10分为止。</w:t>
            </w:r>
          </w:p>
          <w:p w14:paraId="453129CA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3.不提供宣传推广方案或方案与本项目不相关的，本项全部不得分。</w:t>
            </w:r>
          </w:p>
          <w:p w14:paraId="35F4606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注：评审专家按照征集文件评审要求、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提供的申请文件方案，结合项目实际做具体评审。</w:t>
            </w:r>
          </w:p>
        </w:tc>
        <w:tc>
          <w:tcPr>
            <w:tcW w:w="1290" w:type="dxa"/>
            <w:noWrap w:val="0"/>
            <w:vAlign w:val="center"/>
          </w:tcPr>
          <w:p w14:paraId="48F74A1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10分</w:t>
            </w:r>
          </w:p>
        </w:tc>
      </w:tr>
      <w:tr w14:paraId="099B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1" w:type="dxa"/>
            <w:noWrap w:val="0"/>
            <w:vAlign w:val="center"/>
          </w:tcPr>
          <w:p w14:paraId="66A4F59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885" w:type="dxa"/>
            <w:noWrap w:val="0"/>
            <w:vAlign w:val="center"/>
          </w:tcPr>
          <w:p w14:paraId="3ABCFF0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成功</w:t>
            </w:r>
          </w:p>
          <w:p w14:paraId="26D2BD6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案例</w:t>
            </w:r>
          </w:p>
        </w:tc>
        <w:tc>
          <w:tcPr>
            <w:tcW w:w="7399" w:type="dxa"/>
            <w:noWrap w:val="0"/>
            <w:vAlign w:val="center"/>
          </w:tcPr>
          <w:p w14:paraId="3B634A64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（一）评分标准：</w:t>
            </w:r>
          </w:p>
          <w:p w14:paraId="1AA092B8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有成功举办过国际级或国家级赛事经验的，每个赛事得5分，本项满分得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分。</w:t>
            </w:r>
          </w:p>
          <w:p w14:paraId="723E9F42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有成功举办过省级或市、县级的赛事经验的，每个赛事得2.5分，本项满分得5分。</w:t>
            </w:r>
          </w:p>
          <w:p w14:paraId="505E3F41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本项满分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分，一份合同不能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交叉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得分，只能在所属的级别得分。</w:t>
            </w:r>
          </w:p>
          <w:p w14:paraId="50DD60FA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（二）级别认定说明及其他</w:t>
            </w:r>
          </w:p>
          <w:p w14:paraId="3A83FB19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赛事级别以主办单位来认定：①国际性组织的为国际级；②主办单位含国家体育总局（及其直属单位）或全国性协会的为国家级；③主办单位含省级人民政府（及其下属体育行政主管部门）或全省性协会的为省级；④主办单位含市级人民政府（及其下属体育行政主管部门）或全市性协会的为市级。</w:t>
            </w:r>
          </w:p>
          <w:p w14:paraId="2244368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两份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项目合同书或协议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（含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赛事总结、媒体报道等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，否则不得分。</w:t>
            </w:r>
          </w:p>
        </w:tc>
        <w:tc>
          <w:tcPr>
            <w:tcW w:w="1290" w:type="dxa"/>
            <w:noWrap w:val="0"/>
            <w:vAlign w:val="center"/>
          </w:tcPr>
          <w:p w14:paraId="022D817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</w:tr>
      <w:tr w14:paraId="096E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61" w:type="dxa"/>
            <w:noWrap w:val="0"/>
            <w:vAlign w:val="center"/>
          </w:tcPr>
          <w:p w14:paraId="411C112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 w14:paraId="4766DD6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赛事审计、 评估</w:t>
            </w:r>
          </w:p>
        </w:tc>
        <w:tc>
          <w:tcPr>
            <w:tcW w:w="7399" w:type="dxa"/>
            <w:noWrap w:val="0"/>
            <w:vAlign w:val="center"/>
          </w:tcPr>
          <w:p w14:paraId="214C86B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有对所提供成功案例的项目，进行过专项赛事审计、评估的才能得分，每项案例得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分，本项最多得6分。</w:t>
            </w:r>
          </w:p>
          <w:p w14:paraId="6119DCF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注：提供赛事审计报告和评估报告。</w:t>
            </w:r>
          </w:p>
        </w:tc>
        <w:tc>
          <w:tcPr>
            <w:tcW w:w="1290" w:type="dxa"/>
            <w:noWrap w:val="0"/>
            <w:vAlign w:val="center"/>
          </w:tcPr>
          <w:p w14:paraId="03BEA6C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6分</w:t>
            </w:r>
          </w:p>
        </w:tc>
      </w:tr>
      <w:tr w14:paraId="3A52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61" w:type="dxa"/>
            <w:noWrap w:val="0"/>
            <w:vAlign w:val="center"/>
          </w:tcPr>
          <w:p w14:paraId="57D6010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885" w:type="dxa"/>
            <w:noWrap w:val="0"/>
            <w:vAlign w:val="center"/>
          </w:tcPr>
          <w:p w14:paraId="2C4D697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获得的荣誉</w:t>
            </w:r>
          </w:p>
        </w:tc>
        <w:tc>
          <w:tcPr>
            <w:tcW w:w="7399" w:type="dxa"/>
            <w:noWrap w:val="0"/>
            <w:vAlign w:val="center"/>
          </w:tcPr>
          <w:p w14:paraId="12723483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承办过的赛事，有获得过的体育产业示范项目、旅游精品赛事等相关荣誉的，由省级政府及以上认定的每个得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分，本项满分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分。</w:t>
            </w:r>
          </w:p>
          <w:p w14:paraId="2913248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注：提供认定文件的网站截图或相关证明材料和承办该赛事的合同。</w:t>
            </w:r>
          </w:p>
        </w:tc>
        <w:tc>
          <w:tcPr>
            <w:tcW w:w="1290" w:type="dxa"/>
            <w:noWrap w:val="0"/>
            <w:vAlign w:val="center"/>
          </w:tcPr>
          <w:p w14:paraId="07537B4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</w:tr>
      <w:tr w14:paraId="76B4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61" w:type="dxa"/>
            <w:noWrap w:val="0"/>
            <w:vAlign w:val="center"/>
          </w:tcPr>
          <w:p w14:paraId="49C8495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885" w:type="dxa"/>
            <w:noWrap w:val="0"/>
            <w:vAlign w:val="center"/>
          </w:tcPr>
          <w:p w14:paraId="767B6A8A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资金筹措计划及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验资凭证</w:t>
            </w:r>
          </w:p>
        </w:tc>
        <w:tc>
          <w:tcPr>
            <w:tcW w:w="7399" w:type="dxa"/>
            <w:noWrap w:val="0"/>
            <w:vAlign w:val="center"/>
          </w:tcPr>
          <w:p w14:paraId="1CCC5BD0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提供不低于赛事奖励资金最高额度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0%的验资凭证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本项满分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分。</w:t>
            </w:r>
          </w:p>
          <w:p w14:paraId="00733DA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注：提供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凭证。</w:t>
            </w:r>
          </w:p>
        </w:tc>
        <w:tc>
          <w:tcPr>
            <w:tcW w:w="1290" w:type="dxa"/>
            <w:noWrap w:val="0"/>
            <w:vAlign w:val="center"/>
          </w:tcPr>
          <w:p w14:paraId="60EE7F3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</w:tr>
    </w:tbl>
    <w:p w14:paraId="691EEB67"/>
    <w:p w14:paraId="12C5343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 w14:paraId="6EAB20E5"/>
    <w:sectPr>
      <w:footerReference r:id="rId3" w:type="default"/>
      <w:pgSz w:w="11906" w:h="16838"/>
      <w:pgMar w:top="1440" w:right="1800" w:bottom="1440" w:left="1800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5B36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32C130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pWgSDXAAAABwEAAA8AAAAAAAAAAQAgAAAAIgAA&#10;AGRycy9kb3ducmV2LnhtbFBLAQIUABQAAAAIAIdO4kBgcnE80AEAAKMDAAAOAAAAAAAAAAEAIAAA&#10;ACYBAABkcnMvZTJvRG9jLnhtbFBLBQYAAAAABgAGAFkBAABo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32C130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74850"/>
    <w:multiLevelType w:val="singleLevel"/>
    <w:tmpl w:val="7F5748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ODNhOGM3OTdlMmNiNmQ5NjI3ZGQxMmE3N2Y0NzUifQ=="/>
  </w:docVars>
  <w:rsids>
    <w:rsidRoot w:val="4AEA74F4"/>
    <w:rsid w:val="4AE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2024-08-02T03:33:00Z</dcterms:created>
  <dc:creator>WPS_1509416483</dc:creator>
  <cp:lastModifiedBy>WPS_1509416483</cp:lastModifiedBy>
  <dcterms:modified xsi:type="dcterms:W3CDTF">2024-08-02T03:34:24Z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FBC054B520F144929FC0326423EEF261_11</vt:lpwstr>
  </property>
</Properties>
</file>